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13" w:rsidRDefault="00CD6213" w:rsidP="00705714">
      <w:pPr>
        <w:spacing w:after="0" w:line="360" w:lineRule="auto"/>
        <w:jc w:val="center"/>
        <w:rPr>
          <w:rStyle w:val="ui-provider"/>
          <w:rFonts w:ascii="Times New Roman" w:hAnsi="Times New Roman" w:cs="Times New Roman"/>
          <w:sz w:val="28"/>
          <w:szCs w:val="28"/>
          <w:lang w:val="lt-LT"/>
        </w:rPr>
      </w:pPr>
      <w:bookmarkStart w:id="0" w:name="_GoBack"/>
      <w:bookmarkEnd w:id="0"/>
      <w:r w:rsidRPr="00CD6213">
        <w:rPr>
          <w:rStyle w:val="ui-provider"/>
          <w:rFonts w:ascii="Times New Roman" w:hAnsi="Times New Roman" w:cs="Times New Roman"/>
          <w:noProof/>
          <w:sz w:val="28"/>
          <w:szCs w:val="28"/>
          <w:lang w:val="lt-LT"/>
        </w:rPr>
        <w:drawing>
          <wp:inline distT="0" distB="0" distL="0" distR="0" wp14:anchorId="1C2F2B0C" wp14:editId="21ECE891">
            <wp:extent cx="863213" cy="822108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9410" cy="83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1E8" w:rsidRPr="00EC7F0E" w:rsidRDefault="00CD6213" w:rsidP="00705714">
      <w:pPr>
        <w:spacing w:after="0" w:line="360" w:lineRule="auto"/>
        <w:jc w:val="center"/>
        <w:rPr>
          <w:rStyle w:val="ui-provider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ui-provider"/>
          <w:rFonts w:ascii="Times New Roman" w:hAnsi="Times New Roman" w:cs="Times New Roman"/>
          <w:sz w:val="28"/>
          <w:szCs w:val="28"/>
          <w:lang w:val="lt-LT"/>
        </w:rPr>
        <w:t>Polonistų asociacija</w:t>
      </w:r>
    </w:p>
    <w:p w:rsidR="00C451E8" w:rsidRPr="00EC7F0E" w:rsidRDefault="00C451E8" w:rsidP="00C451E8">
      <w:pPr>
        <w:spacing w:after="0" w:line="360" w:lineRule="auto"/>
        <w:rPr>
          <w:rStyle w:val="ui-provider"/>
          <w:rFonts w:ascii="Times New Roman" w:hAnsi="Times New Roman" w:cs="Times New Roman"/>
          <w:sz w:val="28"/>
          <w:szCs w:val="28"/>
          <w:lang w:val="en-US"/>
        </w:rPr>
      </w:pPr>
    </w:p>
    <w:p w:rsidR="00C451E8" w:rsidRPr="00EC7F0E" w:rsidRDefault="00C451E8" w:rsidP="00C451E8">
      <w:pPr>
        <w:spacing w:after="0" w:line="360" w:lineRule="auto"/>
        <w:rPr>
          <w:lang w:val="en-US"/>
        </w:rPr>
      </w:pPr>
    </w:p>
    <w:p w:rsidR="00C451E8" w:rsidRPr="00EC7F0E" w:rsidRDefault="00C451E8" w:rsidP="00C451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51E8" w:rsidRDefault="00C451E8" w:rsidP="00C451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5714" w:rsidRDefault="00705714" w:rsidP="00C451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5714" w:rsidRPr="00EC7F0E" w:rsidRDefault="00705714" w:rsidP="00C451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51E8" w:rsidRPr="00EC7F0E" w:rsidRDefault="00C451E8" w:rsidP="00C451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5714" w:rsidRDefault="00705714" w:rsidP="00C451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Metodinė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medžiaga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skirta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mokytojams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pagrindinio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lenkų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kalbos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literatūros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ugdymo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įgyvendinimui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pritaikymui</w:t>
      </w:r>
      <w:proofErr w:type="spellEnd"/>
    </w:p>
    <w:p w:rsidR="00C451E8" w:rsidRDefault="00C451E8" w:rsidP="00C451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5714" w:rsidRPr="00EC7F0E" w:rsidRDefault="00705714" w:rsidP="00C451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51E8" w:rsidRDefault="00705714" w:rsidP="00C451E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05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Žaidybinimo</w:t>
      </w:r>
      <w:proofErr w:type="spellEnd"/>
      <w:r w:rsidRPr="00705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metodo </w:t>
      </w:r>
      <w:proofErr w:type="spellStart"/>
      <w:r w:rsidRPr="00705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panaudojimas</w:t>
      </w:r>
      <w:proofErr w:type="spellEnd"/>
      <w:r w:rsidRPr="00705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5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ugdymo</w:t>
      </w:r>
      <w:proofErr w:type="spellEnd"/>
      <w:r w:rsidRPr="00705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5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rocese</w:t>
      </w:r>
      <w:proofErr w:type="spellEnd"/>
    </w:p>
    <w:p w:rsidR="00705714" w:rsidRPr="00705714" w:rsidRDefault="00705714" w:rsidP="00C451E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Įvadas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705714" w:rsidRPr="00705714" w:rsidRDefault="00705714" w:rsidP="007057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1E8" w:rsidRPr="00705714" w:rsidRDefault="00C451E8" w:rsidP="00C451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1E8" w:rsidRPr="00705714" w:rsidRDefault="00C451E8" w:rsidP="00C451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1E8" w:rsidRPr="00705714" w:rsidRDefault="00C451E8" w:rsidP="00C451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1E8" w:rsidRPr="00705714" w:rsidRDefault="00C451E8" w:rsidP="00C451E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5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Parengė</w:t>
      </w:r>
      <w:proofErr w:type="spellEnd"/>
      <w:r w:rsidRPr="00705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451E8" w:rsidRDefault="00C451E8" w:rsidP="00C451E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</w:t>
      </w:r>
      <w:r w:rsidR="00705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gina </w:t>
      </w:r>
      <w:proofErr w:type="spellStart"/>
      <w:r w:rsidR="00705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Pašuta</w:t>
      </w:r>
      <w:proofErr w:type="spellEnd"/>
    </w:p>
    <w:p w:rsidR="00C451E8" w:rsidRDefault="00C451E8" w:rsidP="00C451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1E8" w:rsidRDefault="00C451E8" w:rsidP="00C451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1E8" w:rsidRDefault="00C451E8" w:rsidP="00C451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1E8" w:rsidRDefault="00C451E8" w:rsidP="00C451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1E8" w:rsidRDefault="00C451E8" w:rsidP="00C451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1E8" w:rsidRDefault="00C451E8" w:rsidP="00C955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Vilnius</w:t>
      </w:r>
      <w:proofErr w:type="spellEnd"/>
    </w:p>
    <w:p w:rsidR="00C451E8" w:rsidRDefault="00C451E8" w:rsidP="00C95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m.</w:t>
      </w:r>
    </w:p>
    <w:p w:rsidR="00C95567" w:rsidRDefault="00C95567" w:rsidP="007057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567" w:rsidRDefault="00C95567" w:rsidP="007057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714" w:rsidRPr="00705714" w:rsidRDefault="00705714" w:rsidP="007057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714">
        <w:rPr>
          <w:rFonts w:ascii="Times New Roman" w:eastAsia="Times New Roman" w:hAnsi="Times New Roman" w:cs="Times New Roman"/>
          <w:b/>
          <w:sz w:val="24"/>
          <w:szCs w:val="24"/>
        </w:rPr>
        <w:t>ĮVADAS</w:t>
      </w:r>
    </w:p>
    <w:p w:rsidR="00705714" w:rsidRPr="00705714" w:rsidRDefault="00705714" w:rsidP="007057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714" w:rsidRPr="00705714" w:rsidRDefault="00705714" w:rsidP="00705714">
      <w:pPr>
        <w:spacing w:after="0" w:line="360" w:lineRule="auto"/>
        <w:ind w:lef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pažangos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strategijoje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Lietuva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2030“</w:t>
      </w:r>
      <w:r w:rsidRPr="00705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pabrėžiama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labai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svarbu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paskatinti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esminius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visuomenės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pokyčius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sudaryti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sąlygas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formuotis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kūrybingai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atsakingai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atvirai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asmenybei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lavinti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kiekvieno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nario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kūrybiškumą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O tai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reiškia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įstaigos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turi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užtikrinti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kokybišką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ugdymą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kiekvienam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mokiniui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sudaryti</w:t>
      </w:r>
      <w:proofErr w:type="spellEnd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galimybes</w:t>
      </w:r>
      <w:proofErr w:type="spellEnd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aktyviai</w:t>
      </w:r>
      <w:proofErr w:type="spellEnd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dalyvauti</w:t>
      </w:r>
      <w:proofErr w:type="spellEnd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mokyklos</w:t>
      </w:r>
      <w:proofErr w:type="spellEnd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vietos</w:t>
      </w:r>
      <w:proofErr w:type="spellEnd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bendruomenės</w:t>
      </w:r>
      <w:proofErr w:type="spellEnd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gyvenime</w:t>
      </w:r>
      <w:proofErr w:type="spellEnd"/>
      <w:r w:rsidRPr="00705714"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Ugdymą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planuoti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organizuoti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remiantis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poreikiais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diferencijavimas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individualizavimas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suasmeninimas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patikimiausias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kelias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siekti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kiekvieno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asmeninės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pažangos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14" w:rsidRPr="00705714" w:rsidRDefault="00705714" w:rsidP="00705714">
      <w:pPr>
        <w:shd w:val="clear" w:color="auto" w:fill="FFFFFF"/>
        <w:spacing w:after="0" w:line="360" w:lineRule="auto"/>
        <w:ind w:lef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Šiuolaikiniai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moksleiviai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puikiai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jaučiasi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skaitmeniniame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technologijų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kupiname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pasaulyje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nepažįsta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pasaulio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interneto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mobiliųjų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telefonų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programėlių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planšetinių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kompiuterių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konsolių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šiuolaikinių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išradimų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Įvairūs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žaidimai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dabar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vienas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pagrindinių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jaunimo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pramogų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šaltinių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Žaidimų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pritaikymas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švietime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leidžia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elementus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įterpti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didaktinį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procesą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jie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veiksmingai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pritrauktų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dėmesį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padėtų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jiems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siekti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užsibrėžtų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tikslų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14" w:rsidRPr="00705714" w:rsidRDefault="00705714" w:rsidP="007057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Keičiasi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mokytojo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vaidmuo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norint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įtraukti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moksleivius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procesą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mokytojas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siekia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inovatyvių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pasiūlymų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tampa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animatoriumi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įvairių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netradicinių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ugdomųjų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veiklų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kūrėju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sumanytoju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renka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tik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medžiagą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didaktinio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ugdomojo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darbo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metodus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padeda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moksleiviams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atsakingai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pasirinkti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įvairius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šiuolaikinių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informacijos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šaltinius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5714" w:rsidRPr="00705714" w:rsidRDefault="00705714" w:rsidP="00705714">
      <w:pPr>
        <w:shd w:val="clear" w:color="auto" w:fill="FFFFFF"/>
        <w:spacing w:after="0" w:line="360" w:lineRule="auto"/>
        <w:ind w:lef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Internetinio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specialistai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metodologai</w:t>
      </w:r>
      <w:r w:rsidRPr="00705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aiškiai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teigia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interneto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vartotojai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prisimena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tik 10 % to,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perskaito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20 % to,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išgirsta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net 90 % to,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daro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net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tai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simuliacija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Be to,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tyrimų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duomenimis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net 80 %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žmonių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norėtų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darbas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mokymasis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būtų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labiau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panašus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žaidimą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tradicinę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veiklą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14" w:rsidRPr="00705714" w:rsidRDefault="00705714" w:rsidP="00705714">
      <w:pPr>
        <w:shd w:val="clear" w:color="auto" w:fill="FFFFFF"/>
        <w:spacing w:after="0" w:line="360" w:lineRule="auto"/>
        <w:ind w:lef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Šiais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laikais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turime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žinoti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tradiciniai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metodai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praranda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veiksmingumą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gali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nuobodinti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moksleivius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Norint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formuoti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skatinti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vaikų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kūrybines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vaizduotės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nuostatas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drąsą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mąstyti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veikti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originalumą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smalsumą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pažinti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pasaulį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procese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būtina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taikyti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aktyvinančius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metodus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Tarp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daugelio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gerai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žinomų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aktyvinimo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metodų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vis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dažniau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minimas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žaidybinimo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metodas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05714">
        <w:rPr>
          <w:rFonts w:ascii="Times New Roman" w:eastAsia="Times New Roman" w:hAnsi="Times New Roman" w:cs="Times New Roman"/>
          <w:i/>
          <w:sz w:val="24"/>
          <w:szCs w:val="24"/>
        </w:rPr>
        <w:t>gamification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, ang. k.).</w:t>
      </w:r>
    </w:p>
    <w:p w:rsidR="00705714" w:rsidRPr="00705714" w:rsidRDefault="00705714" w:rsidP="00705714">
      <w:pPr>
        <w:shd w:val="clear" w:color="auto" w:fill="FFFFFF"/>
        <w:spacing w:after="0" w:line="360" w:lineRule="auto"/>
        <w:ind w:lef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Žaidybinimas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– tai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sąmoningas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tikslingas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žaidimų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mechanizmų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naudojimas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siekiant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suaktyvinti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motyvuoti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pasirinktą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grupę. 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Žaidybinimas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švietime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reiškia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vieno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daugiau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elementų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naudojimą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procese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laikoma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strategijų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taktikų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produktų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rinkiniu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kurių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taikymas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leidžia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pasiekti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švietimo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tikslus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14" w:rsidRPr="00705714" w:rsidRDefault="00705714" w:rsidP="00705714">
      <w:pPr>
        <w:shd w:val="clear" w:color="auto" w:fill="FFFFFF"/>
        <w:spacing w:after="0" w:line="360" w:lineRule="auto"/>
        <w:ind w:lef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714" w:rsidRPr="00705714" w:rsidRDefault="00705714" w:rsidP="007057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b/>
          <w:sz w:val="24"/>
          <w:szCs w:val="24"/>
        </w:rPr>
        <w:t>Žaidybinimo</w:t>
      </w:r>
      <w:proofErr w:type="spellEnd"/>
      <w:r w:rsidRPr="007057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b/>
          <w:sz w:val="24"/>
          <w:szCs w:val="24"/>
        </w:rPr>
        <w:t>ugdyme</w:t>
      </w:r>
      <w:proofErr w:type="spellEnd"/>
      <w:r w:rsidRPr="007057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b/>
          <w:sz w:val="24"/>
          <w:szCs w:val="24"/>
        </w:rPr>
        <w:t>privalumai</w:t>
      </w:r>
      <w:proofErr w:type="spellEnd"/>
      <w:r w:rsidRPr="007057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05714" w:rsidRPr="00705714" w:rsidRDefault="00705714" w:rsidP="0070571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lastRenderedPageBreak/>
        <w:t>Palengvina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eigą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skatina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motyvaciją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kuria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laisvo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motyvuoto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dalyvavimo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būseną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žaidėjai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įsijaučia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žaidimų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aplinką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lengvai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priima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susijusią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informaciją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5714" w:rsidRPr="00705714" w:rsidRDefault="00705714" w:rsidP="0070571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Didina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besimokančiojo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moksleivio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įsitraukimą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motyvuoja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jį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galvoti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plačiau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įprastai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netradiciškai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0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14" w:rsidRPr="00705714" w:rsidRDefault="00705714" w:rsidP="0070571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Mokiniui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suteikiama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didesnė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kontrolė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tad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didėja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atsakomybės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motyvacijos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rodikliai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14" w:rsidRPr="00705714" w:rsidRDefault="00705714" w:rsidP="0070571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Mokymasis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kasdienis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darbas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paverčiamas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smagia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produktyvia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veikla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Žaidimų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principai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skatina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dopamino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išsiskyrimą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smegenyse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todėl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procesas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tampa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daug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malonesnis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smagesnis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705714" w:rsidRPr="00705714" w:rsidRDefault="00705714" w:rsidP="0070571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Teikia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laisvę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patirti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nesėkmę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sukuriama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nerizikinga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saugi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aplinka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kurioje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mokiniai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gali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bandyti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pritaikyti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įgytas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žinias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įgūdžius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tiek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kartų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kiek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reikės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kol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užduotį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atliks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sėkmingai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05714" w:rsidRPr="00705714" w:rsidRDefault="00705714" w:rsidP="0070571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Teikia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tiesioginį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grįžtamąjį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ryšį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apie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rezultatus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pažangos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progreso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rodiklius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70571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705714" w:rsidRPr="00705714" w:rsidRDefault="00705714" w:rsidP="0070571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Gerėja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informacijos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įsisavinimo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įsiminimo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rodiklis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Tyrimai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rodo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kad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žaidimai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padidina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įsisavinimą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maždaug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40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procentų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571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05714" w:rsidRPr="00705714" w:rsidRDefault="00705714" w:rsidP="0070571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Sukelia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tikras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galingas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žmogaus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emocijas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tokias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kaip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laimė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intriga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jaudulys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pasiekimų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euforija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Derinant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ją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kitomis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mokymų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strategijomis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metodikomis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ji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gali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būti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efektyviai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pritaikoma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siekiant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padėti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asmenims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darbo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aplinkoje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motyvuoti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darbuotojus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siekti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geresnių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rezultatų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705714" w:rsidRPr="00705714" w:rsidRDefault="00705714" w:rsidP="00705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5714" w:rsidRPr="00705714" w:rsidRDefault="00705714" w:rsidP="00705714">
      <w:pPr>
        <w:spacing w:after="0" w:line="360" w:lineRule="auto"/>
        <w:ind w:left="-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Šis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metodinis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leidinys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skirtas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lenkų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tautinės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mažumos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gimtosios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kalbos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mokytojų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dalykinėms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kompetencijoms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tobulinti</w:t>
      </w:r>
      <w:proofErr w:type="spellEnd"/>
      <w:r w:rsidRPr="0070571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suteiks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turintiems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patirtį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bei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tik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pradedantiesiems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lenkų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kalbos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literatūros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mokytojams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reikalin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žinių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praktinių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įgūdžių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kaip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galima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įgyvendinti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lenkų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tautinės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mažumos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gimtosios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kalbos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literatūros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bendrojo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programą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paskatins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didesnį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norą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mokytis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05714" w:rsidRPr="00705714" w:rsidRDefault="00705714" w:rsidP="00705714">
      <w:pPr>
        <w:spacing w:after="0" w:line="360" w:lineRule="auto"/>
        <w:ind w:left="-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Analizuojant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ugdy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naujausias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tendencijas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atsižvelgiant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į 2022 m.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atnaujintas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bendrojo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programas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mokytojų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dalykinių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bendrųjų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kompetencijų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metodines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rekomendacijas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ši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metodinė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medžiaga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leis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efektyviai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shd w:val="clear" w:color="auto" w:fill="FAF9F8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įgyvendinti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turinį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panaudojant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žaidybinimą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05714" w:rsidRPr="00705714" w:rsidRDefault="00705714" w:rsidP="007057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engta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metodinė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medžiaga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sudaro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pamokų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ciklai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skirti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7-8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klasių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mokiniams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Vienam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pamokų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ciklui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skiriamos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mažiau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kaip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pamokos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705714" w:rsidRPr="00705714" w:rsidRDefault="00705714" w:rsidP="00705714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Česlavo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Milošo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pėdsa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Milošas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atrastas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naujo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705714" w:rsidRPr="00705714" w:rsidRDefault="00705714" w:rsidP="00705714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Frazeologizma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lengvai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įkandamas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riešutas</w:t>
      </w:r>
      <w:proofErr w:type="spellEnd"/>
    </w:p>
    <w:p w:rsidR="00705714" w:rsidRPr="00705714" w:rsidRDefault="00705714" w:rsidP="00705714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Wisławos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Szymborskos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poezijo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vertybių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universalumas</w:t>
      </w:r>
      <w:proofErr w:type="spellEnd"/>
    </w:p>
    <w:p w:rsidR="00705714" w:rsidRDefault="00705714" w:rsidP="007057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5714" w:rsidRPr="00705714" w:rsidRDefault="00705714" w:rsidP="007057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Pamokoje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išvardyti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bendri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pamokos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aspektai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705714" w:rsidRPr="00705714" w:rsidRDefault="00705714" w:rsidP="00705714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lastRenderedPageBreak/>
        <w:t>ciklo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714" w:rsidRPr="00705714" w:rsidRDefault="00705714" w:rsidP="00705714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ciklo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uždaviniai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05714" w:rsidRPr="00705714" w:rsidRDefault="00705714" w:rsidP="00705714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ugdomos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kompetencijos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714" w:rsidRPr="00705714" w:rsidRDefault="00705714" w:rsidP="00705714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veiklos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714" w:rsidRPr="00705714" w:rsidRDefault="00705714" w:rsidP="00705714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vertinimo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įsivertinimo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kriterijai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714" w:rsidRPr="00705714" w:rsidRDefault="00705714" w:rsidP="00705714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refleksijos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lapas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5714" w:rsidRPr="00705714" w:rsidRDefault="00705714" w:rsidP="007057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Metodinio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leidinio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pamokų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aprašai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apima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visą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struktūrą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nuo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sužadinimo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pamokos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refleksijos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Kiekvienai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pamokai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ciklui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suformuluoti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uždaviniai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įvardinti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sėkmės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vertinimo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kriterijai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sukurtos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įvairios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veiklos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kurių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turinys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šiuolaikiškas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aktualus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Užduotys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diferencijuotos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mokiniams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skirtingais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poreikiais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arba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skirtingais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pasiekimais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t. y.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mokiniams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kurie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greitai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gerai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įsisavina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mokomąją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medžiagą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parengtos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iššūkį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keliančios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užduotys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; o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mokiniams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specialiaisiais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poreikiais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pateiktos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pritaikytos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teksto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supratimo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teksto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kūrimo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užduotys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Pamokų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veiklų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aprašuose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panaudoti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tokie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inovatyvūs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žaidybinimo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metodai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pabėgimo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kambarys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escape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room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ang. k.),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orientacinis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interaktyvūs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žaidimai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QR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kodai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interaktyvios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užduotys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skaitmeninėje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platformoje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i/>
          <w:sz w:val="24"/>
          <w:szCs w:val="24"/>
        </w:rPr>
        <w:t>Wordwall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5714" w:rsidRPr="00705714" w:rsidRDefault="00705714" w:rsidP="007057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Pamokų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medžiaga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apima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kultūrinį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kontekstą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lenkų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literatūros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pažinimą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tarpkultūrinius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ryšius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14" w:rsidRPr="00705714" w:rsidRDefault="00705714" w:rsidP="007057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Užduotys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parengtos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visoms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komunikavimo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gimtąja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kalba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raiškos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sritims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tam,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užtikrinti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kalbinę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ugdymo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integraciją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kalbėjimas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klausymas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sąveika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skaitymas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teksto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supratimas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rašymas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teksto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kūrimas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kalbos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pažinimas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literatūros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pažinimas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5714" w:rsidRDefault="00705714" w:rsidP="007057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Metodiniame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leidinyje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atalpinti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atliktų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užduočių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pavyzdžiai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refleksijų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vertinimo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įsivertinimo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kriterijų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pavyzdžiai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5714" w:rsidRDefault="00705714" w:rsidP="007057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714" w:rsidRPr="00705714" w:rsidRDefault="00705714" w:rsidP="007057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5714">
        <w:rPr>
          <w:rFonts w:ascii="Times New Roman" w:eastAsia="Times New Roman" w:hAnsi="Times New Roman" w:cs="Times New Roman"/>
          <w:b/>
          <w:sz w:val="24"/>
          <w:szCs w:val="24"/>
        </w:rPr>
        <w:t>Šaltiniai</w:t>
      </w:r>
      <w:proofErr w:type="spellEnd"/>
      <w:r w:rsidRPr="007057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05714" w:rsidRPr="00705714" w:rsidRDefault="00705714" w:rsidP="00705714">
      <w:pPr>
        <w:pStyle w:val="ListParagraph"/>
        <w:numPr>
          <w:ilvl w:val="0"/>
          <w:numId w:val="40"/>
        </w:num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Lietuvos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pažangos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strategija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Lietuva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2030“ [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žiūrėta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: 2024,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rugsėjo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9 d. ]. 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Prieiga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internetą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: &lt;</w:t>
      </w:r>
      <w:r w:rsidR="00304964">
        <w:fldChar w:fldCharType="begin"/>
      </w:r>
      <w:r w:rsidR="00304964" w:rsidRPr="0074073C">
        <w:rPr>
          <w:lang w:val="en-US"/>
        </w:rPr>
        <w:instrText xml:space="preserve"> HYPERLINK "https://e-seimas.l</w:instrText>
      </w:r>
      <w:r w:rsidR="00304964" w:rsidRPr="0074073C">
        <w:rPr>
          <w:lang w:val="en-US"/>
        </w:rPr>
        <w:instrText xml:space="preserve">rs.lt/portal/legalAct/lt/TAD/TAIS.412512" \h </w:instrText>
      </w:r>
      <w:r w:rsidR="00304964">
        <w:fldChar w:fldCharType="separate"/>
      </w:r>
      <w:r w:rsidRPr="00705714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https://e-seimas.lrs.lt/portal/legalAct/lt/TAD/TAIS.412512</w:t>
      </w:r>
      <w:r w:rsidR="00304964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fldChar w:fldCharType="end"/>
      </w:r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&gt;</w:t>
      </w:r>
    </w:p>
    <w:p w:rsidR="00705714" w:rsidRPr="00705714" w:rsidRDefault="00705714" w:rsidP="00705714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5714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Gamifikacja w edukacji – najlepsze sposoby wykorzystania grywalizacji, </w:t>
      </w:r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žiūrėta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: 2024,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</w:rPr>
        <w:t>spalio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</w:rPr>
        <w:t xml:space="preserve"> 7 d. ]. 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Prieiga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 internetą:&lt;</w:t>
      </w:r>
      <w:hyperlink r:id="rId9">
        <w:r w:rsidRPr="007057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https://e-pasje.pl/gamifikacja-w-edukacji-najlepsze-sposoby-wykorzystania-grywalizacji/</w:t>
        </w:r>
      </w:hyperlink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&gt;</w:t>
      </w:r>
    </w:p>
    <w:p w:rsidR="00705714" w:rsidRPr="00705714" w:rsidRDefault="00705714" w:rsidP="00705714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Celiešienė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Kvieskienė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Žaidybinimo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sumaniosios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edukacijos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sąsajos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Lietuvos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edukologijos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universitetas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, Vilnius 2016.</w:t>
      </w:r>
    </w:p>
    <w:p w:rsidR="00705714" w:rsidRPr="00705714" w:rsidRDefault="00705714" w:rsidP="00705714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Kirjazovaitė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A.,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Žaidybinimas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metodas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galintis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pagerinti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kokybę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žiūrėta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2024,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spalio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d. ]. 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Prieiga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internetą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: &lt;</w:t>
      </w:r>
      <w:hyperlink r:id="rId10">
        <w:r w:rsidRPr="007057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https://www.infoera.lt/blog/zaidybinimas-metodas-galintis-pagerinti-mokymosi-kokybe/</w:t>
        </w:r>
      </w:hyperlink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&gt;</w:t>
      </w:r>
    </w:p>
    <w:p w:rsidR="00C451E8" w:rsidRPr="00705714" w:rsidRDefault="00705714" w:rsidP="00705714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Kirjazovaitė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A.,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Žaidybinimas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metodas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galintis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pagerinti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mokymosi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kokybę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žiūrėta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2024,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spalio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d. ]. 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Prieiga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internetą</w:t>
      </w:r>
      <w:proofErr w:type="spellEnd"/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>: &lt;</w:t>
      </w:r>
      <w:hyperlink r:id="rId11">
        <w:r w:rsidRPr="0070571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https://www.infoera.lt/blog/zaidybinimas-metodas-galintis-pagerinti-mokymosi-kokybe/</w:t>
        </w:r>
      </w:hyperlink>
      <w:r w:rsidRPr="007057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451E8" w:rsidRPr="00705714" w:rsidRDefault="00C451E8" w:rsidP="003E12F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C451E8" w:rsidRPr="00705714" w:rsidSect="00EC7F0E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964" w:rsidRDefault="00304964" w:rsidP="004E4A34">
      <w:pPr>
        <w:spacing w:after="0" w:line="240" w:lineRule="auto"/>
      </w:pPr>
      <w:r>
        <w:separator/>
      </w:r>
    </w:p>
  </w:endnote>
  <w:endnote w:type="continuationSeparator" w:id="0">
    <w:p w:rsidR="00304964" w:rsidRDefault="00304964" w:rsidP="004E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964" w:rsidRDefault="00304964" w:rsidP="004E4A34">
      <w:pPr>
        <w:spacing w:after="0" w:line="240" w:lineRule="auto"/>
      </w:pPr>
      <w:r>
        <w:separator/>
      </w:r>
    </w:p>
  </w:footnote>
  <w:footnote w:type="continuationSeparator" w:id="0">
    <w:p w:rsidR="00304964" w:rsidRDefault="00304964" w:rsidP="004E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521"/>
    <w:multiLevelType w:val="hybridMultilevel"/>
    <w:tmpl w:val="F99683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C3161"/>
    <w:multiLevelType w:val="hybridMultilevel"/>
    <w:tmpl w:val="025C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606"/>
    <w:multiLevelType w:val="hybridMultilevel"/>
    <w:tmpl w:val="4BD81D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5D5B"/>
    <w:multiLevelType w:val="hybridMultilevel"/>
    <w:tmpl w:val="657A9100"/>
    <w:lvl w:ilvl="0" w:tplc="3368A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328C"/>
    <w:multiLevelType w:val="hybridMultilevel"/>
    <w:tmpl w:val="DE2E4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133"/>
    <w:multiLevelType w:val="hybridMultilevel"/>
    <w:tmpl w:val="17C895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96B"/>
    <w:multiLevelType w:val="hybridMultilevel"/>
    <w:tmpl w:val="3A146B6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30D3C"/>
    <w:multiLevelType w:val="hybridMultilevel"/>
    <w:tmpl w:val="774C4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D40B0"/>
    <w:multiLevelType w:val="hybridMultilevel"/>
    <w:tmpl w:val="A9A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C7E1B"/>
    <w:multiLevelType w:val="hybridMultilevel"/>
    <w:tmpl w:val="685E76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24992"/>
    <w:multiLevelType w:val="hybridMultilevel"/>
    <w:tmpl w:val="214EFC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45FF3"/>
    <w:multiLevelType w:val="multilevel"/>
    <w:tmpl w:val="7F5EBC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A9A4124"/>
    <w:multiLevelType w:val="hybridMultilevel"/>
    <w:tmpl w:val="A9D031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38DB"/>
    <w:multiLevelType w:val="hybridMultilevel"/>
    <w:tmpl w:val="E00476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14D97"/>
    <w:multiLevelType w:val="hybridMultilevel"/>
    <w:tmpl w:val="C8C0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422D6"/>
    <w:multiLevelType w:val="multilevel"/>
    <w:tmpl w:val="3E885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08B0359"/>
    <w:multiLevelType w:val="hybridMultilevel"/>
    <w:tmpl w:val="31BC85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3F2"/>
    <w:multiLevelType w:val="hybridMultilevel"/>
    <w:tmpl w:val="685E76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7052"/>
    <w:multiLevelType w:val="hybridMultilevel"/>
    <w:tmpl w:val="97201B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CD4"/>
    <w:multiLevelType w:val="hybridMultilevel"/>
    <w:tmpl w:val="A9A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33DAE"/>
    <w:multiLevelType w:val="hybridMultilevel"/>
    <w:tmpl w:val="DABACC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349F2"/>
    <w:multiLevelType w:val="hybridMultilevel"/>
    <w:tmpl w:val="02C0BCA6"/>
    <w:lvl w:ilvl="0" w:tplc="C8668A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6AE0"/>
    <w:multiLevelType w:val="hybridMultilevel"/>
    <w:tmpl w:val="E44608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E37BE"/>
    <w:multiLevelType w:val="hybridMultilevel"/>
    <w:tmpl w:val="4BC8AC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46117"/>
    <w:multiLevelType w:val="multilevel"/>
    <w:tmpl w:val="EB4C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76C52"/>
    <w:multiLevelType w:val="hybridMultilevel"/>
    <w:tmpl w:val="C15C6C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42261"/>
    <w:multiLevelType w:val="hybridMultilevel"/>
    <w:tmpl w:val="B6FC7C5C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31FB0"/>
    <w:multiLevelType w:val="hybridMultilevel"/>
    <w:tmpl w:val="4112AA72"/>
    <w:lvl w:ilvl="0" w:tplc="4B02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C6516"/>
    <w:multiLevelType w:val="hybridMultilevel"/>
    <w:tmpl w:val="7F08D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44D35"/>
    <w:multiLevelType w:val="hybridMultilevel"/>
    <w:tmpl w:val="02C0BCA6"/>
    <w:lvl w:ilvl="0" w:tplc="C8668A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10161"/>
    <w:multiLevelType w:val="hybridMultilevel"/>
    <w:tmpl w:val="FDEE1C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D2FC1"/>
    <w:multiLevelType w:val="hybridMultilevel"/>
    <w:tmpl w:val="627CCE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A5E7A"/>
    <w:multiLevelType w:val="hybridMultilevel"/>
    <w:tmpl w:val="214EFC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D241A"/>
    <w:multiLevelType w:val="hybridMultilevel"/>
    <w:tmpl w:val="6C6E4B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8278A"/>
    <w:multiLevelType w:val="hybridMultilevel"/>
    <w:tmpl w:val="02C0BCA6"/>
    <w:lvl w:ilvl="0" w:tplc="C8668A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963C3"/>
    <w:multiLevelType w:val="hybridMultilevel"/>
    <w:tmpl w:val="128A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D3FFE"/>
    <w:multiLevelType w:val="hybridMultilevel"/>
    <w:tmpl w:val="8CE0CE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DAC2B1A"/>
    <w:multiLevelType w:val="multilevel"/>
    <w:tmpl w:val="8DC67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1CA1D64"/>
    <w:multiLevelType w:val="hybridMultilevel"/>
    <w:tmpl w:val="823A82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6572D"/>
    <w:multiLevelType w:val="hybridMultilevel"/>
    <w:tmpl w:val="46047D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26"/>
  </w:num>
  <w:num w:numId="5">
    <w:abstractNumId w:val="19"/>
  </w:num>
  <w:num w:numId="6">
    <w:abstractNumId w:val="2"/>
  </w:num>
  <w:num w:numId="7">
    <w:abstractNumId w:val="3"/>
  </w:num>
  <w:num w:numId="8">
    <w:abstractNumId w:val="14"/>
  </w:num>
  <w:num w:numId="9">
    <w:abstractNumId w:val="7"/>
  </w:num>
  <w:num w:numId="10">
    <w:abstractNumId w:val="22"/>
  </w:num>
  <w:num w:numId="11">
    <w:abstractNumId w:val="27"/>
  </w:num>
  <w:num w:numId="12">
    <w:abstractNumId w:val="9"/>
  </w:num>
  <w:num w:numId="13">
    <w:abstractNumId w:val="31"/>
  </w:num>
  <w:num w:numId="14">
    <w:abstractNumId w:val="12"/>
  </w:num>
  <w:num w:numId="15">
    <w:abstractNumId w:val="17"/>
  </w:num>
  <w:num w:numId="16">
    <w:abstractNumId w:val="38"/>
  </w:num>
  <w:num w:numId="17">
    <w:abstractNumId w:val="18"/>
  </w:num>
  <w:num w:numId="18">
    <w:abstractNumId w:val="30"/>
  </w:num>
  <w:num w:numId="19">
    <w:abstractNumId w:val="24"/>
  </w:num>
  <w:num w:numId="20">
    <w:abstractNumId w:val="16"/>
  </w:num>
  <w:num w:numId="21">
    <w:abstractNumId w:val="8"/>
  </w:num>
  <w:num w:numId="22">
    <w:abstractNumId w:val="33"/>
  </w:num>
  <w:num w:numId="23">
    <w:abstractNumId w:val="21"/>
  </w:num>
  <w:num w:numId="24">
    <w:abstractNumId w:val="39"/>
  </w:num>
  <w:num w:numId="25">
    <w:abstractNumId w:val="29"/>
  </w:num>
  <w:num w:numId="26">
    <w:abstractNumId w:val="34"/>
  </w:num>
  <w:num w:numId="27">
    <w:abstractNumId w:val="6"/>
  </w:num>
  <w:num w:numId="28">
    <w:abstractNumId w:val="20"/>
  </w:num>
  <w:num w:numId="29">
    <w:abstractNumId w:val="5"/>
  </w:num>
  <w:num w:numId="30">
    <w:abstractNumId w:val="0"/>
  </w:num>
  <w:num w:numId="31">
    <w:abstractNumId w:val="23"/>
  </w:num>
  <w:num w:numId="32">
    <w:abstractNumId w:val="32"/>
  </w:num>
  <w:num w:numId="33">
    <w:abstractNumId w:val="1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1"/>
  </w:num>
  <w:num w:numId="37">
    <w:abstractNumId w:val="35"/>
  </w:num>
  <w:num w:numId="38">
    <w:abstractNumId w:val="1"/>
  </w:num>
  <w:num w:numId="39">
    <w:abstractNumId w:val="3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F6"/>
    <w:rsid w:val="000114F0"/>
    <w:rsid w:val="00016948"/>
    <w:rsid w:val="00034020"/>
    <w:rsid w:val="00090542"/>
    <w:rsid w:val="000925B0"/>
    <w:rsid w:val="000A59EF"/>
    <w:rsid w:val="00134DFF"/>
    <w:rsid w:val="001857A4"/>
    <w:rsid w:val="001B6730"/>
    <w:rsid w:val="001D3E8E"/>
    <w:rsid w:val="001F4D5A"/>
    <w:rsid w:val="002E412B"/>
    <w:rsid w:val="00303C3A"/>
    <w:rsid w:val="00304964"/>
    <w:rsid w:val="00366474"/>
    <w:rsid w:val="003809C5"/>
    <w:rsid w:val="00390FF8"/>
    <w:rsid w:val="003D7369"/>
    <w:rsid w:val="003E12F6"/>
    <w:rsid w:val="003E1526"/>
    <w:rsid w:val="004E49FB"/>
    <w:rsid w:val="004E4A34"/>
    <w:rsid w:val="004F5A99"/>
    <w:rsid w:val="00542D00"/>
    <w:rsid w:val="0057175B"/>
    <w:rsid w:val="005A3FEE"/>
    <w:rsid w:val="00627CFD"/>
    <w:rsid w:val="00654B54"/>
    <w:rsid w:val="006D7F14"/>
    <w:rsid w:val="006E5838"/>
    <w:rsid w:val="006F7B36"/>
    <w:rsid w:val="00705714"/>
    <w:rsid w:val="0074073C"/>
    <w:rsid w:val="00754934"/>
    <w:rsid w:val="0075667A"/>
    <w:rsid w:val="007C3B2B"/>
    <w:rsid w:val="008B5C9F"/>
    <w:rsid w:val="008D7EEB"/>
    <w:rsid w:val="008E03FC"/>
    <w:rsid w:val="00986D89"/>
    <w:rsid w:val="00A0530D"/>
    <w:rsid w:val="00A07739"/>
    <w:rsid w:val="00A30273"/>
    <w:rsid w:val="00A8679B"/>
    <w:rsid w:val="00AB470B"/>
    <w:rsid w:val="00B125C4"/>
    <w:rsid w:val="00B27C79"/>
    <w:rsid w:val="00BB4CC1"/>
    <w:rsid w:val="00C1260A"/>
    <w:rsid w:val="00C33229"/>
    <w:rsid w:val="00C451E8"/>
    <w:rsid w:val="00C52D6F"/>
    <w:rsid w:val="00C95567"/>
    <w:rsid w:val="00CD6213"/>
    <w:rsid w:val="00D60437"/>
    <w:rsid w:val="00DC4E90"/>
    <w:rsid w:val="00EC7F0E"/>
    <w:rsid w:val="00EE7731"/>
    <w:rsid w:val="00EF72EB"/>
    <w:rsid w:val="00F46E77"/>
    <w:rsid w:val="00F556ED"/>
    <w:rsid w:val="00F61B82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60F6-EFD5-4A9B-B756-E8418FC1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2F6"/>
    <w:rPr>
      <w:rFonts w:ascii="Calibri" w:eastAsia="Calibri" w:hAnsi="Calibri" w:cs="Calibri"/>
      <w:lang w:val="pl-PL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47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5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F6"/>
    <w:pPr>
      <w:spacing w:after="0" w:line="240" w:lineRule="auto"/>
    </w:pPr>
    <w:rPr>
      <w:rFonts w:ascii="Calibri" w:eastAsia="Calibri" w:hAnsi="Calibri" w:cs="Calibri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2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2F6"/>
    <w:pPr>
      <w:ind w:left="720"/>
      <w:contextualSpacing/>
    </w:pPr>
  </w:style>
  <w:style w:type="paragraph" w:customStyle="1" w:styleId="Standarduser">
    <w:name w:val="Standard (user)"/>
    <w:rsid w:val="003E12F6"/>
    <w:pPr>
      <w:suppressAutoHyphens/>
      <w:autoSpaceDN w:val="0"/>
      <w:spacing w:after="0" w:line="240" w:lineRule="auto"/>
      <w:textAlignment w:val="baseline"/>
    </w:pPr>
    <w:rPr>
      <w:rFonts w:ascii="Arial Narrow" w:eastAsia="Arial Unicode MS" w:hAnsi="Arial Narrow" w:cs="Arial Unicode MS"/>
      <w:color w:val="000000"/>
      <w:kern w:val="3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rsid w:val="003E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Strong">
    <w:name w:val="Strong"/>
    <w:basedOn w:val="DefaultParagraphFont"/>
    <w:uiPriority w:val="22"/>
    <w:qFormat/>
    <w:rsid w:val="004E4A3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34"/>
    <w:rPr>
      <w:rFonts w:ascii="Calibri" w:eastAsia="Calibri" w:hAnsi="Calibri" w:cs="Calibri"/>
      <w:lang w:val="pl-PL" w:eastAsia="lt-LT"/>
    </w:rPr>
  </w:style>
  <w:style w:type="paragraph" w:styleId="Footer">
    <w:name w:val="footer"/>
    <w:basedOn w:val="Normal"/>
    <w:link w:val="FooterChar"/>
    <w:uiPriority w:val="99"/>
    <w:unhideWhenUsed/>
    <w:rsid w:val="004E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34"/>
    <w:rPr>
      <w:rFonts w:ascii="Calibri" w:eastAsia="Calibri" w:hAnsi="Calibri" w:cs="Calibri"/>
      <w:lang w:val="pl-PL"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3E15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C451E8"/>
  </w:style>
  <w:style w:type="character" w:customStyle="1" w:styleId="Heading1Char">
    <w:name w:val="Heading 1 Char"/>
    <w:basedOn w:val="DefaultParagraphFont"/>
    <w:link w:val="Heading1"/>
    <w:uiPriority w:val="9"/>
    <w:rsid w:val="00366474"/>
    <w:rPr>
      <w:rFonts w:ascii="Times New Roman" w:eastAsiaTheme="majorEastAsia" w:hAnsi="Times New Roman" w:cstheme="majorBidi"/>
      <w:b/>
      <w:color w:val="000000" w:themeColor="text1"/>
      <w:sz w:val="24"/>
      <w:szCs w:val="32"/>
      <w:lang w:val="pl-PL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3664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366474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lt-LT"/>
    </w:rPr>
  </w:style>
  <w:style w:type="paragraph" w:styleId="TOC1">
    <w:name w:val="toc 1"/>
    <w:basedOn w:val="Normal"/>
    <w:next w:val="Normal"/>
    <w:autoRedefine/>
    <w:uiPriority w:val="39"/>
    <w:unhideWhenUsed/>
    <w:rsid w:val="0036647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6647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era.lt/blog/zaidybinimas-metodas-galintis-pagerinti-mokymosi-koky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foera.lt/blog/zaidybinimas-metodas-galintis-pagerinti-mokymosi-koky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pasje.pl/gamifikacja-w-edukacji-najlepsze-sposoby-wykorzystania-grywaliza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B249-3BEF-4F56-8A60-92C7421F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5157</Words>
  <Characters>2940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Danuta Szejnicka</cp:lastModifiedBy>
  <cp:revision>2</cp:revision>
  <cp:lastPrinted>2024-11-18T19:34:00Z</cp:lastPrinted>
  <dcterms:created xsi:type="dcterms:W3CDTF">2024-11-19T12:33:00Z</dcterms:created>
  <dcterms:modified xsi:type="dcterms:W3CDTF">2024-11-19T12:33:00Z</dcterms:modified>
</cp:coreProperties>
</file>